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before="156" w:beforeLines="50" w:line="530" w:lineRule="exact"/>
        <w:rPr>
          <w:rFonts w:ascii="宋体" w:hAnsi="宋体" w:eastAsia="宋体"/>
          <w:color w:val="auto"/>
          <w:sz w:val="30"/>
          <w:szCs w:val="30"/>
        </w:rPr>
      </w:pPr>
      <w:bookmarkStart w:id="2" w:name="_GoBack"/>
      <w:bookmarkStart w:id="0" w:name="_Toc460501300"/>
      <w:r>
        <w:rPr>
          <w:rFonts w:hint="eastAsia" w:ascii="宋体" w:hAnsi="宋体" w:eastAsia="宋体"/>
          <w:color w:val="auto"/>
          <w:sz w:val="30"/>
          <w:szCs w:val="30"/>
        </w:rPr>
        <w:t>江苏陶欣伯助学基金会“伯藜助学金”管理工作年度评估方案</w:t>
      </w:r>
      <w:bookmarkEnd w:id="0"/>
    </w:p>
    <w:p>
      <w:pPr>
        <w:pStyle w:val="21"/>
        <w:spacing w:line="600" w:lineRule="exact"/>
        <w:ind w:firstLine="480" w:firstLineChars="200"/>
        <w:rPr>
          <w:rFonts w:ascii="宋体" w:hAnsi="宋体"/>
          <w:color w:val="auto"/>
          <w:kern w:val="0"/>
          <w:sz w:val="24"/>
          <w:szCs w:val="24"/>
        </w:rPr>
      </w:pP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为进一步规范江苏陶欣伯助学基金会（简称我会，下同）项目管理工作，不断提升资助育人工作水平及项目管理工作的效率和效益，充分调动各项目合作院校的积极性，确保资助工作稳步扎实开展，总结经验，促进交流，我会拟于每年3月对各项目合作院校“伯藜助学金”项目及相关管理工作进行年度评估。</w:t>
      </w:r>
    </w:p>
    <w:p>
      <w:pPr>
        <w:pStyle w:val="21"/>
        <w:spacing w:line="600" w:lineRule="exact"/>
        <w:ind w:firstLine="482" w:firstLineChars="200"/>
        <w:rPr>
          <w:rFonts w:ascii="宋体" w:hAnsi="宋体"/>
          <w:b/>
          <w:color w:val="auto"/>
          <w:kern w:val="0"/>
          <w:sz w:val="24"/>
          <w:szCs w:val="24"/>
        </w:rPr>
      </w:pPr>
      <w:r>
        <w:rPr>
          <w:rFonts w:hint="eastAsia" w:ascii="宋体" w:hAnsi="宋体"/>
          <w:b/>
          <w:color w:val="auto"/>
          <w:kern w:val="0"/>
          <w:sz w:val="24"/>
          <w:szCs w:val="24"/>
        </w:rPr>
        <w:t>一．评估目的</w:t>
      </w: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通过对各项目合作院校“伯藜助学金”的项目年度评估，切实规范我会项目管理工作，努力提高项目管理工作效率、效益和资助育人工作水平，不断加深校、会合作双方之间的理解与支持。</w:t>
      </w:r>
    </w:p>
    <w:p>
      <w:pPr>
        <w:pStyle w:val="21"/>
        <w:spacing w:line="600" w:lineRule="exact"/>
        <w:ind w:firstLine="482" w:firstLineChars="200"/>
        <w:rPr>
          <w:rFonts w:ascii="宋体" w:hAnsi="宋体"/>
          <w:b/>
          <w:color w:val="auto"/>
          <w:kern w:val="0"/>
          <w:sz w:val="24"/>
          <w:szCs w:val="24"/>
        </w:rPr>
      </w:pPr>
      <w:r>
        <w:rPr>
          <w:rFonts w:hint="eastAsia" w:ascii="宋体" w:hAnsi="宋体"/>
          <w:b/>
          <w:color w:val="auto"/>
          <w:kern w:val="0"/>
          <w:sz w:val="24"/>
          <w:szCs w:val="24"/>
        </w:rPr>
        <w:t>二．评估方法</w:t>
      </w:r>
    </w:p>
    <w:p>
      <w:pPr>
        <w:pStyle w:val="21"/>
        <w:numPr>
          <w:ilvl w:val="255"/>
          <w:numId w:val="0"/>
        </w:numPr>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1.《江苏陶欣伯助学基金会“伯藜助学金”管理工作评估表》；</w:t>
      </w:r>
    </w:p>
    <w:p>
      <w:pPr>
        <w:pStyle w:val="21"/>
        <w:numPr>
          <w:ilvl w:val="255"/>
          <w:numId w:val="0"/>
        </w:numPr>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2.撰写书面总结报告。</w:t>
      </w:r>
    </w:p>
    <w:p>
      <w:pPr>
        <w:pStyle w:val="21"/>
        <w:spacing w:line="600" w:lineRule="exact"/>
        <w:ind w:firstLine="482" w:firstLineChars="200"/>
        <w:rPr>
          <w:rFonts w:ascii="宋体" w:hAnsi="宋体"/>
          <w:b/>
          <w:color w:val="auto"/>
          <w:sz w:val="24"/>
          <w:szCs w:val="24"/>
        </w:rPr>
      </w:pPr>
      <w:r>
        <w:rPr>
          <w:rFonts w:hint="eastAsia" w:ascii="宋体" w:hAnsi="宋体"/>
          <w:b/>
          <w:color w:val="auto"/>
          <w:sz w:val="24"/>
          <w:szCs w:val="24"/>
        </w:rPr>
        <w:t>三．评估程序</w:t>
      </w: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评估工作分为学校自评和我会复评两个阶段，每个阶段的时间安排如下：</w:t>
      </w:r>
    </w:p>
    <w:p>
      <w:pPr>
        <w:spacing w:line="600" w:lineRule="exact"/>
        <w:ind w:firstLine="480" w:firstLineChars="200"/>
        <w:jc w:val="left"/>
        <w:rPr>
          <w:rFonts w:ascii="宋体" w:hAnsi="宋体"/>
          <w:color w:val="auto"/>
          <w:kern w:val="0"/>
          <w:sz w:val="24"/>
        </w:rPr>
      </w:pPr>
      <w:r>
        <w:rPr>
          <w:rFonts w:hint="eastAsia" w:ascii="宋体" w:hAnsi="宋体"/>
          <w:color w:val="auto"/>
          <w:kern w:val="0"/>
          <w:sz w:val="24"/>
        </w:rPr>
        <w:t>第一阶段：</w:t>
      </w:r>
      <w:r>
        <w:rPr>
          <w:rFonts w:hint="eastAsia" w:ascii="宋体" w:hAnsi="宋体"/>
          <w:color w:val="auto"/>
          <w:kern w:val="0"/>
          <w:sz w:val="24"/>
        </w:rPr>
        <w:t>学校自评，时间安排为3月3日开始，结束时间</w:t>
      </w:r>
      <w:r>
        <w:rPr>
          <w:rFonts w:hint="eastAsia" w:ascii="宋体" w:hAnsi="宋体"/>
          <w:color w:val="auto"/>
          <w:kern w:val="0"/>
          <w:sz w:val="24"/>
          <w:lang w:val="en-US" w:eastAsia="zh-CN"/>
        </w:rPr>
        <w:t>为3月25日</w:t>
      </w:r>
      <w:r>
        <w:rPr>
          <w:rFonts w:hint="eastAsia" w:ascii="宋体" w:hAnsi="宋体"/>
          <w:color w:val="auto"/>
          <w:kern w:val="0"/>
          <w:sz w:val="24"/>
        </w:rPr>
        <w:t>。</w:t>
      </w:r>
      <w:r>
        <w:rPr>
          <w:rFonts w:hint="eastAsia" w:ascii="宋体" w:hAnsi="宋体"/>
          <w:color w:val="auto"/>
          <w:kern w:val="0"/>
          <w:sz w:val="24"/>
        </w:rPr>
        <w:t>各项目合作院校按照《江苏陶欣伯助学基金会项目管理工作评估表》对本校“伯藜助学金”管理工作进行逐项自评打分，同时撰写书面总结报告，内容包括：学校“伯藜助学金”管理工作开展的整体情况、取得的经验、存在的问题及改进措施等。各校在自评结束后将书面总结（总结报告需加盖学校公章）附《评估表》寄送我会。总结报告和《评估表》的电子版发至我会邮箱jstspef@sptao-foundation.org。</w:t>
      </w: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第二阶段：我会复评，时间安排为收到所有学校评估</w:t>
      </w:r>
      <w:r>
        <w:rPr>
          <w:rFonts w:hint="eastAsia" w:ascii="宋体" w:hAnsi="宋体"/>
          <w:color w:val="auto"/>
          <w:kern w:val="0"/>
          <w:sz w:val="24"/>
          <w:szCs w:val="24"/>
        </w:rPr>
        <w:t>材料后</w:t>
      </w:r>
      <w:r>
        <w:rPr>
          <w:rFonts w:hint="eastAsia" w:ascii="宋体" w:hAnsi="宋体"/>
          <w:color w:val="auto"/>
          <w:kern w:val="0"/>
          <w:sz w:val="24"/>
          <w:szCs w:val="24"/>
          <w:lang w:val="en-US" w:eastAsia="zh-CN"/>
        </w:rPr>
        <w:t>二</w:t>
      </w:r>
      <w:r>
        <w:rPr>
          <w:rFonts w:hint="eastAsia" w:ascii="宋体" w:hAnsi="宋体"/>
          <w:color w:val="auto"/>
          <w:kern w:val="0"/>
          <w:sz w:val="24"/>
          <w:szCs w:val="24"/>
        </w:rPr>
        <w:t>周内完成。由</w:t>
      </w:r>
      <w:r>
        <w:rPr>
          <w:rFonts w:hint="eastAsia" w:ascii="宋体" w:hAnsi="宋体"/>
          <w:color w:val="auto"/>
          <w:kern w:val="0"/>
          <w:sz w:val="24"/>
          <w:szCs w:val="24"/>
        </w:rPr>
        <w:t>我会结合各项目合作院校的自评报告、陶学子年度审核工作、师生座谈会、“伯藜学社”活动、基金会家访、陶学子来信来稿以及对陶学子随访等提供的相关情况进行综合复评打分。</w:t>
      </w:r>
    </w:p>
    <w:p>
      <w:pPr>
        <w:pStyle w:val="21"/>
        <w:spacing w:line="600" w:lineRule="exact"/>
        <w:rPr>
          <w:rFonts w:ascii="宋体" w:hAnsi="宋体"/>
          <w:b/>
          <w:color w:val="auto"/>
          <w:sz w:val="24"/>
          <w:szCs w:val="24"/>
        </w:rPr>
      </w:pPr>
      <w:r>
        <w:rPr>
          <w:rFonts w:hint="eastAsia" w:ascii="宋体" w:hAnsi="宋体"/>
          <w:b/>
          <w:color w:val="auto"/>
          <w:sz w:val="24"/>
          <w:szCs w:val="24"/>
        </w:rPr>
        <w:t>四．评分方法</w:t>
      </w: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评分方法采取学校自评占权重60%，我会复评占权重40%，两项相加为最后得分的方法计算确定。</w:t>
      </w:r>
    </w:p>
    <w:p>
      <w:pPr>
        <w:pStyle w:val="21"/>
        <w:spacing w:line="600" w:lineRule="exact"/>
        <w:ind w:firstLine="482" w:firstLineChars="200"/>
        <w:rPr>
          <w:rFonts w:ascii="宋体" w:hAnsi="宋体"/>
          <w:b/>
          <w:color w:val="auto"/>
          <w:sz w:val="24"/>
          <w:szCs w:val="24"/>
        </w:rPr>
      </w:pPr>
      <w:r>
        <w:rPr>
          <w:rFonts w:hint="eastAsia" w:ascii="宋体" w:hAnsi="宋体"/>
          <w:b/>
          <w:color w:val="auto"/>
          <w:sz w:val="24"/>
          <w:szCs w:val="24"/>
        </w:rPr>
        <w:t>五．评估结果及反馈</w:t>
      </w: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评估结果分为合格和不合格两类。总分累计达80分为合格。评估合格的学校，我会将继续开展合作项目。凡出现不符合我会实施细则的要求，并造成严重后果或较坏影响的，该学校考评为不合格。评估不合格的学校，我会有权减少当年度该校的资助名额，直至终止与该校的合作。</w:t>
      </w:r>
    </w:p>
    <w:p>
      <w:pPr>
        <w:pStyle w:val="21"/>
        <w:spacing w:line="600" w:lineRule="exact"/>
        <w:ind w:firstLine="480" w:firstLineChars="200"/>
        <w:rPr>
          <w:rFonts w:ascii="宋体" w:hAnsi="宋体"/>
          <w:color w:val="auto"/>
          <w:kern w:val="0"/>
          <w:sz w:val="24"/>
          <w:szCs w:val="24"/>
        </w:rPr>
      </w:pPr>
      <w:r>
        <w:rPr>
          <w:rFonts w:hint="eastAsia" w:ascii="宋体" w:hAnsi="宋体"/>
          <w:color w:val="auto"/>
          <w:kern w:val="0"/>
          <w:sz w:val="24"/>
          <w:szCs w:val="24"/>
        </w:rPr>
        <w:t>评估结果我会将及时向各项目合作院校进行反馈。</w:t>
      </w:r>
    </w:p>
    <w:p>
      <w:pPr>
        <w:pStyle w:val="21"/>
        <w:spacing w:before="100" w:beforeAutospacing="1" w:after="100" w:afterAutospacing="1" w:line="540" w:lineRule="exact"/>
        <w:ind w:left="480" w:hanging="480" w:hangingChars="200"/>
        <w:rPr>
          <w:rFonts w:ascii="宋体" w:hAnsi="宋体"/>
          <w:color w:val="auto"/>
          <w:sz w:val="24"/>
          <w:szCs w:val="24"/>
        </w:rPr>
      </w:pPr>
    </w:p>
    <w:p>
      <w:pPr>
        <w:pStyle w:val="21"/>
        <w:spacing w:line="600" w:lineRule="exact"/>
        <w:ind w:right="139" w:rightChars="66" w:firstLine="482" w:firstLineChars="200"/>
        <w:jc w:val="right"/>
        <w:rPr>
          <w:rFonts w:ascii="宋体" w:hAnsi="宋体"/>
          <w:b/>
          <w:color w:val="auto"/>
          <w:sz w:val="24"/>
          <w:szCs w:val="24"/>
        </w:rPr>
      </w:pPr>
      <w:r>
        <w:rPr>
          <w:rFonts w:hint="eastAsia" w:ascii="宋体" w:hAnsi="宋体"/>
          <w:b/>
          <w:color w:val="auto"/>
          <w:sz w:val="24"/>
          <w:szCs w:val="24"/>
        </w:rPr>
        <w:t>江苏陶欣伯助学基金会</w:t>
      </w:r>
    </w:p>
    <w:p>
      <w:pPr>
        <w:pStyle w:val="21"/>
        <w:spacing w:line="600" w:lineRule="exact"/>
        <w:ind w:firstLine="482" w:firstLineChars="200"/>
        <w:jc w:val="right"/>
        <w:rPr>
          <w:rFonts w:ascii="宋体" w:hAnsi="宋体"/>
          <w:b/>
          <w:color w:val="auto"/>
          <w:sz w:val="24"/>
          <w:szCs w:val="24"/>
        </w:rPr>
      </w:pPr>
      <w:r>
        <w:rPr>
          <w:rFonts w:hint="eastAsia" w:ascii="宋体" w:hAnsi="宋体"/>
          <w:b/>
          <w:color w:val="auto"/>
          <w:sz w:val="24"/>
          <w:szCs w:val="24"/>
        </w:rPr>
        <w:t>二〇二</w:t>
      </w:r>
      <w:r>
        <w:rPr>
          <w:rFonts w:hint="eastAsia" w:ascii="宋体" w:hAnsi="宋体"/>
          <w:b/>
          <w:color w:val="auto"/>
          <w:sz w:val="24"/>
          <w:szCs w:val="24"/>
          <w:lang w:val="en-US" w:eastAsia="zh-CN"/>
        </w:rPr>
        <w:t>一</w:t>
      </w:r>
      <w:r>
        <w:rPr>
          <w:rFonts w:hint="eastAsia" w:ascii="宋体" w:hAnsi="宋体"/>
          <w:b/>
          <w:color w:val="auto"/>
          <w:sz w:val="24"/>
          <w:szCs w:val="24"/>
        </w:rPr>
        <w:t>年三月三日</w:t>
      </w:r>
    </w:p>
    <w:p>
      <w:pPr>
        <w:widowControl/>
        <w:suppressAutoHyphens w:val="0"/>
        <w:jc w:val="left"/>
        <w:rPr>
          <w:rFonts w:ascii="宋体" w:hAnsi="宋体"/>
          <w:color w:val="auto"/>
        </w:rPr>
      </w:pPr>
    </w:p>
    <w:p>
      <w:pPr>
        <w:jc w:val="center"/>
        <w:rPr>
          <w:rFonts w:ascii="华文中宋" w:hAnsi="华文中宋" w:eastAsia="华文中宋"/>
          <w:b/>
          <w:color w:val="auto"/>
          <w:sz w:val="32"/>
        </w:rPr>
        <w:sectPr>
          <w:headerReference r:id="rId3" w:type="default"/>
          <w:footerReference r:id="rId4" w:type="default"/>
          <w:pgSz w:w="11906" w:h="16838"/>
          <w:pgMar w:top="1250" w:right="1701" w:bottom="1440" w:left="1701" w:header="851" w:footer="992" w:gutter="0"/>
          <w:cols w:space="425" w:num="1"/>
          <w:docGrid w:type="lines" w:linePitch="312" w:charSpace="0"/>
        </w:sectPr>
      </w:pPr>
    </w:p>
    <w:p>
      <w:pPr>
        <w:pStyle w:val="23"/>
        <w:spacing w:line="440" w:lineRule="exact"/>
        <w:outlineLvl w:val="9"/>
        <w:rPr>
          <w:rFonts w:ascii="Frutiger LT Std 45 Light"/>
          <w:color w:val="auto"/>
        </w:rPr>
      </w:pPr>
      <w:bookmarkStart w:id="1" w:name="RANGE!A1:H15"/>
      <w:r>
        <w:rPr>
          <w:rFonts w:ascii="Frutiger LT Std 45 Light"/>
          <w:color w:val="auto"/>
        </w:rPr>
        <w:t>江苏陶欣伯助学基金会</w:t>
      </w:r>
      <w:r>
        <w:rPr>
          <w:rFonts w:hint="eastAsia" w:ascii="Frutiger LT Std 45 Light"/>
          <w:color w:val="auto"/>
        </w:rPr>
        <w:t>“</w:t>
      </w:r>
      <w:r>
        <w:rPr>
          <w:rFonts w:ascii="Frutiger LT Std 45 Light"/>
          <w:color w:val="auto"/>
        </w:rPr>
        <w:t>伯藜助学金</w:t>
      </w:r>
      <w:r>
        <w:rPr>
          <w:rFonts w:hint="eastAsia" w:ascii="Frutiger LT Std 45 Light"/>
          <w:color w:val="auto"/>
        </w:rPr>
        <w:t>”</w:t>
      </w:r>
      <w:r>
        <w:rPr>
          <w:rFonts w:ascii="Frutiger LT Std 45 Light"/>
          <w:color w:val="auto"/>
        </w:rPr>
        <w:t>管理工作评估表</w:t>
      </w:r>
      <w:bookmarkEnd w:id="1"/>
    </w:p>
    <w:p>
      <w:pPr>
        <w:widowControl/>
        <w:suppressAutoHyphens w:val="0"/>
        <w:jc w:val="center"/>
        <w:rPr>
          <w:rFonts w:ascii="仿宋" w:hAnsi="仿宋" w:eastAsia="仿宋" w:cs="宋体"/>
          <w:b/>
          <w:bCs/>
          <w:color w:val="auto"/>
          <w:kern w:val="0"/>
          <w:sz w:val="24"/>
        </w:rPr>
      </w:pPr>
      <w:r>
        <w:rPr>
          <w:rFonts w:hint="eastAsia" w:ascii="仿宋" w:hAnsi="仿宋" w:eastAsia="仿宋" w:cs="宋体"/>
          <w:b/>
          <w:bCs/>
          <w:color w:val="auto"/>
          <w:kern w:val="0"/>
          <w:sz w:val="24"/>
        </w:rPr>
        <w:t>评估学校</w:t>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ascii="仿宋" w:hAnsi="仿宋" w:eastAsia="仿宋" w:cs="宋体"/>
          <w:b/>
          <w:bCs/>
          <w:color w:val="auto"/>
          <w:kern w:val="0"/>
          <w:sz w:val="24"/>
        </w:rPr>
        <w:tab/>
      </w:r>
      <w:r>
        <w:rPr>
          <w:rFonts w:hint="eastAsia" w:ascii="仿宋" w:hAnsi="仿宋" w:eastAsia="仿宋" w:cs="宋体"/>
          <w:b/>
          <w:bCs/>
          <w:color w:val="auto"/>
          <w:kern w:val="0"/>
          <w:sz w:val="24"/>
        </w:rPr>
        <w:t>时间周期</w:t>
      </w:r>
      <w:r>
        <w:rPr>
          <w:rFonts w:ascii="仿宋" w:hAnsi="仿宋" w:eastAsia="仿宋" w:cs="宋体"/>
          <w:b/>
          <w:bCs/>
          <w:color w:val="auto"/>
          <w:kern w:val="0"/>
          <w:sz w:val="24"/>
        </w:rPr>
        <w:tab/>
      </w:r>
      <w:r>
        <w:rPr>
          <w:rFonts w:ascii="仿宋" w:hAnsi="仿宋" w:eastAsia="仿宋" w:cs="宋体"/>
          <w:b/>
          <w:bCs/>
          <w:color w:val="auto"/>
          <w:kern w:val="0"/>
          <w:sz w:val="24"/>
        </w:rPr>
        <w:t>20</w:t>
      </w:r>
      <w:r>
        <w:rPr>
          <w:rFonts w:hint="eastAsia" w:ascii="仿宋" w:hAnsi="仿宋" w:eastAsia="仿宋" w:cs="宋体"/>
          <w:b/>
          <w:bCs/>
          <w:color w:val="auto"/>
          <w:kern w:val="0"/>
          <w:sz w:val="24"/>
          <w:lang w:val="en-US" w:eastAsia="zh-CN"/>
        </w:rPr>
        <w:t>20</w:t>
      </w:r>
      <w:r>
        <w:rPr>
          <w:rFonts w:ascii="仿宋" w:hAnsi="仿宋" w:eastAsia="仿宋" w:cs="宋体"/>
          <w:b/>
          <w:bCs/>
          <w:color w:val="auto"/>
          <w:kern w:val="0"/>
          <w:sz w:val="24"/>
        </w:rPr>
        <w:t>年</w:t>
      </w:r>
    </w:p>
    <w:tbl>
      <w:tblPr>
        <w:tblStyle w:val="11"/>
        <w:tblW w:w="1558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567"/>
        <w:gridCol w:w="5528"/>
        <w:gridCol w:w="709"/>
        <w:gridCol w:w="4536"/>
        <w:gridCol w:w="1843"/>
        <w:gridCol w:w="850"/>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tblHeader/>
          <w:jc w:val="center"/>
        </w:trPr>
        <w:tc>
          <w:tcPr>
            <w:tcW w:w="699"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序号</w:t>
            </w:r>
          </w:p>
        </w:tc>
        <w:tc>
          <w:tcPr>
            <w:tcW w:w="567" w:type="dxa"/>
            <w:shd w:val="clear" w:color="auto" w:fill="auto"/>
            <w:vAlign w:val="center"/>
          </w:tcPr>
          <w:p>
            <w:pPr>
              <w:widowControl/>
              <w:suppressAutoHyphens w:val="0"/>
              <w:jc w:val="center"/>
              <w:rPr>
                <w:rFonts w:ascii="仿宋" w:hAnsi="仿宋" w:eastAsia="仿宋" w:cs="宋体"/>
                <w:b/>
                <w:color w:val="auto"/>
                <w:kern w:val="0"/>
                <w:szCs w:val="21"/>
              </w:rPr>
            </w:pPr>
            <w:r>
              <w:rPr>
                <w:rFonts w:hint="eastAsia" w:ascii="仿宋" w:hAnsi="仿宋" w:eastAsia="仿宋" w:cs="宋体"/>
                <w:b/>
                <w:color w:val="auto"/>
                <w:kern w:val="0"/>
                <w:szCs w:val="21"/>
              </w:rPr>
              <w:t>　</w:t>
            </w:r>
          </w:p>
        </w:tc>
        <w:tc>
          <w:tcPr>
            <w:tcW w:w="5528"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项目</w:t>
            </w:r>
          </w:p>
        </w:tc>
        <w:tc>
          <w:tcPr>
            <w:tcW w:w="709"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分值</w:t>
            </w:r>
          </w:p>
        </w:tc>
        <w:tc>
          <w:tcPr>
            <w:tcW w:w="4536"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评分标准</w:t>
            </w:r>
          </w:p>
        </w:tc>
        <w:tc>
          <w:tcPr>
            <w:tcW w:w="1843"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完成情况自述</w:t>
            </w:r>
          </w:p>
        </w:tc>
        <w:tc>
          <w:tcPr>
            <w:tcW w:w="850"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自评分</w:t>
            </w:r>
          </w:p>
        </w:tc>
        <w:tc>
          <w:tcPr>
            <w:tcW w:w="851" w:type="dxa"/>
            <w:shd w:val="clear" w:color="auto" w:fill="auto"/>
            <w:vAlign w:val="center"/>
          </w:tcPr>
          <w:p>
            <w:pPr>
              <w:widowControl/>
              <w:suppressAutoHyphens w:val="0"/>
              <w:jc w:val="center"/>
              <w:rPr>
                <w:rFonts w:ascii="仿宋" w:hAnsi="仿宋" w:eastAsia="仿宋" w:cs="宋体"/>
                <w:b/>
                <w:bCs/>
                <w:color w:val="auto"/>
                <w:kern w:val="0"/>
                <w:szCs w:val="21"/>
              </w:rPr>
            </w:pPr>
            <w:r>
              <w:rPr>
                <w:rFonts w:hint="eastAsia" w:ascii="仿宋" w:hAnsi="仿宋" w:eastAsia="仿宋" w:cs="宋体"/>
                <w:b/>
                <w:bCs/>
                <w:color w:val="auto"/>
                <w:kern w:val="0"/>
                <w:szCs w:val="21"/>
              </w:rPr>
              <w:t>复评分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restart"/>
            <w:shd w:val="clear" w:color="auto" w:fill="auto"/>
            <w:vAlign w:val="center"/>
          </w:tcPr>
          <w:p>
            <w:pPr>
              <w:widowControl/>
              <w:suppressAutoHyphens w:val="0"/>
              <w:jc w:val="center"/>
              <w:rPr>
                <w:rFonts w:ascii="仿宋" w:hAnsi="仿宋" w:eastAsia="仿宋" w:cs="宋体"/>
                <w:bCs/>
                <w:color w:val="auto"/>
                <w:kern w:val="0"/>
                <w:szCs w:val="21"/>
              </w:rPr>
            </w:pPr>
            <w:r>
              <w:rPr>
                <w:rFonts w:hint="eastAsia" w:ascii="仿宋" w:hAnsi="仿宋" w:eastAsia="仿宋" w:cs="宋体"/>
                <w:bCs/>
                <w:color w:val="auto"/>
                <w:kern w:val="0"/>
                <w:szCs w:val="21"/>
              </w:rPr>
              <w:t>责任机制评估</w:t>
            </w: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1.1</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项目合作院校成立“伯藜助学金”评审委员会，指导和监督本校“伯藜助学金”项目实施。</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职责明确、已成立评审委员会，有学校发文，落实到人。（提供评审委员会名单及评审会议纪要复印件）</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1.2</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学院要有领导分管、专人负责伯藜助学金评选</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责任人职责明确，任务落实。（提供各学院分管人员名单）</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restart"/>
            <w:shd w:val="clear" w:color="auto" w:fill="auto"/>
            <w:vAlign w:val="center"/>
          </w:tcPr>
          <w:p>
            <w:pPr>
              <w:widowControl/>
              <w:suppressAutoHyphens w:val="0"/>
              <w:jc w:val="center"/>
              <w:rPr>
                <w:rFonts w:ascii="仿宋" w:hAnsi="仿宋" w:eastAsia="仿宋" w:cs="宋体"/>
                <w:bCs/>
                <w:color w:val="auto"/>
                <w:kern w:val="0"/>
                <w:szCs w:val="21"/>
              </w:rPr>
            </w:pPr>
            <w:r>
              <w:rPr>
                <w:rFonts w:hint="eastAsia" w:ascii="仿宋" w:hAnsi="仿宋" w:eastAsia="仿宋" w:cs="宋体"/>
                <w:bCs/>
                <w:color w:val="auto"/>
                <w:kern w:val="0"/>
                <w:szCs w:val="21"/>
              </w:rPr>
              <w:t>管理水平评估</w:t>
            </w: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2.1</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项目合作院校在评选工作之前对“伯藜助学金”宗旨和评选条件进行宣讲和深入宣传。</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10</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通过学校网页、学生录取通知书告知，院系召开宣讲会、讨论会等方式对“伯藜助学金”宗旨和评选条件进行深入宣传。</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2.2</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项目合作院校以江苏陶欣伯助学基金会的宗旨，“伯藜助学金”实施细则及签订的协议为依据，严格把关，公开、公平、公正、规范地做好“伯藜助学金”的评选与审核工作。</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10</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严格执行“伯藜助学金”实施细则，评选工作公开、公平、公正、规范。</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2.3</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指导并督促陶学子据实填写年中、年度审核表，并认真做好对陶学子的年度审核工作，及时对上一年度因学业成绩等因素失去受助资格的陶学子进行调整，报本基金会备案。项目合作院校及时将陶学子审核材料和审核结果等在线提交本基金会审核，在本基金会审核确认15个工作日内将纸质材料汇总寄送给本基金会；</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陶学子年中、年度成绩初考挂科率较同比情况；</w:t>
            </w:r>
          </w:p>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年中、年度总结按时提交到基金会会；</w:t>
            </w:r>
          </w:p>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年度审核表有辅导员对陶学子的个性化化评语；</w:t>
            </w:r>
          </w:p>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年中、年度度审核通过率较高，被基金会退回的比例低</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2.4</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项目合作院校收到本基金会拨付的伯藜助学金款项后一月内，按学期或按学年将助学款打入陶学子个人校园卡或银行卡；如按学期发放，则在春季学期开学两周内将伯藜助学金发放到位。</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10</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如未按时打款，此项按</w:t>
            </w:r>
            <w:r>
              <w:rPr>
                <w:rFonts w:ascii="仿宋" w:hAnsi="仿宋" w:eastAsia="仿宋" w:cs="宋体"/>
                <w:color w:val="auto"/>
                <w:kern w:val="0"/>
                <w:szCs w:val="21"/>
              </w:rPr>
              <w:t>0分计</w:t>
            </w:r>
            <w:r>
              <w:rPr>
                <w:rFonts w:hint="eastAsia" w:ascii="仿宋" w:hAnsi="仿宋" w:eastAsia="仿宋" w:cs="宋体"/>
                <w:color w:val="auto"/>
                <w:kern w:val="0"/>
                <w:szCs w:val="21"/>
              </w:rPr>
              <w:t>；</w:t>
            </w:r>
          </w:p>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发现将“伯藜助学金”作为学费扣发的行为按</w:t>
            </w:r>
            <w:r>
              <w:rPr>
                <w:rFonts w:ascii="仿宋" w:hAnsi="仿宋" w:eastAsia="仿宋" w:cs="宋体"/>
                <w:color w:val="auto"/>
                <w:kern w:val="0"/>
                <w:szCs w:val="21"/>
              </w:rPr>
              <w:t>0分计。</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2.5</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项目合作院校收到助学款后</w:t>
            </w:r>
            <w:r>
              <w:rPr>
                <w:rFonts w:ascii="仿宋" w:hAnsi="仿宋" w:eastAsia="仿宋" w:cs="宋体"/>
                <w:color w:val="auto"/>
                <w:kern w:val="0"/>
                <w:szCs w:val="21"/>
              </w:rPr>
              <w:t>10</w:t>
            </w:r>
            <w:r>
              <w:rPr>
                <w:rFonts w:hint="eastAsia" w:ascii="仿宋" w:hAnsi="仿宋" w:eastAsia="仿宋" w:cs="宋体"/>
                <w:color w:val="auto"/>
                <w:kern w:val="0"/>
                <w:szCs w:val="21"/>
              </w:rPr>
              <w:t>个工作日内开具捐赠收据给本基金会。</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如无特殊原因超出</w:t>
            </w:r>
            <w:r>
              <w:rPr>
                <w:rFonts w:ascii="仿宋" w:hAnsi="仿宋" w:eastAsia="仿宋" w:cs="宋体"/>
                <w:color w:val="auto"/>
                <w:kern w:val="0"/>
                <w:szCs w:val="21"/>
              </w:rPr>
              <w:t>10</w:t>
            </w:r>
            <w:r>
              <w:rPr>
                <w:rFonts w:hint="eastAsia" w:ascii="仿宋" w:hAnsi="仿宋" w:eastAsia="仿宋" w:cs="宋体"/>
                <w:color w:val="auto"/>
                <w:kern w:val="0"/>
                <w:szCs w:val="21"/>
              </w:rPr>
              <w:t>个工作日的，此项按</w:t>
            </w:r>
            <w:r>
              <w:rPr>
                <w:rFonts w:ascii="仿宋" w:hAnsi="仿宋" w:eastAsia="仿宋" w:cs="宋体"/>
                <w:color w:val="auto"/>
                <w:kern w:val="0"/>
                <w:szCs w:val="21"/>
              </w:rPr>
              <w:t>0分计</w:t>
            </w:r>
            <w:r>
              <w:rPr>
                <w:rFonts w:hint="eastAsia" w:ascii="仿宋" w:hAnsi="仿宋" w:eastAsia="仿宋" w:cs="宋体"/>
                <w:color w:val="auto"/>
                <w:kern w:val="0"/>
                <w:szCs w:val="21"/>
              </w:rPr>
              <w:t>。</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2.6</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项目合作院校根据本基金会的要求，对上一年资助款项，包括伯藜助学金、社团活动经费、校园文化活动、假期社会实践活动项目款进行年度审计，并在每年</w:t>
            </w:r>
            <w:r>
              <w:rPr>
                <w:rFonts w:ascii="仿宋" w:hAnsi="仿宋" w:eastAsia="仿宋" w:cs="宋体"/>
                <w:color w:val="auto"/>
                <w:kern w:val="0"/>
                <w:szCs w:val="21"/>
              </w:rPr>
              <w:t>3月25日前将审计报告寄送给本基金会。</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10</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如无特殊原因超出一个月的，此项按</w:t>
            </w:r>
            <w:r>
              <w:rPr>
                <w:rFonts w:ascii="仿宋" w:hAnsi="仿宋" w:eastAsia="仿宋" w:cs="宋体"/>
                <w:color w:val="auto"/>
                <w:kern w:val="0"/>
                <w:szCs w:val="21"/>
              </w:rPr>
              <w:t>0分计</w:t>
            </w:r>
            <w:r>
              <w:rPr>
                <w:rFonts w:hint="eastAsia" w:ascii="仿宋" w:hAnsi="仿宋" w:eastAsia="仿宋" w:cs="宋体"/>
                <w:color w:val="auto"/>
                <w:kern w:val="0"/>
                <w:szCs w:val="21"/>
              </w:rPr>
              <w:t>。</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restart"/>
            <w:shd w:val="clear" w:color="auto" w:fill="auto"/>
            <w:vAlign w:val="center"/>
          </w:tcPr>
          <w:p>
            <w:pPr>
              <w:widowControl/>
              <w:suppressAutoHyphens w:val="0"/>
              <w:jc w:val="center"/>
              <w:rPr>
                <w:rFonts w:ascii="仿宋" w:hAnsi="仿宋" w:eastAsia="仿宋" w:cs="宋体"/>
                <w:bCs/>
                <w:color w:val="auto"/>
                <w:kern w:val="0"/>
                <w:szCs w:val="21"/>
              </w:rPr>
            </w:pPr>
            <w:r>
              <w:rPr>
                <w:rFonts w:hint="eastAsia" w:ascii="仿宋" w:hAnsi="仿宋" w:eastAsia="仿宋" w:cs="宋体"/>
                <w:bCs/>
                <w:color w:val="auto"/>
                <w:kern w:val="0"/>
                <w:szCs w:val="21"/>
              </w:rPr>
              <w:t>伯藜学社工作评估</w:t>
            </w: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3.1</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项目合作院校安排专责人员，指导陶学子成立社团组织——伯藜学社，以集体形式开展互助与公益活动；伯藜学社在学校团委注册，由学工处指导。</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10</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未在团委注册此项按</w:t>
            </w:r>
            <w:r>
              <w:rPr>
                <w:rFonts w:ascii="仿宋" w:hAnsi="仿宋" w:eastAsia="仿宋" w:cs="宋体"/>
                <w:color w:val="auto"/>
                <w:kern w:val="0"/>
                <w:szCs w:val="21"/>
              </w:rPr>
              <w:t>0分计</w:t>
            </w:r>
            <w:r>
              <w:rPr>
                <w:rFonts w:hint="eastAsia" w:ascii="仿宋" w:hAnsi="仿宋" w:eastAsia="仿宋" w:cs="宋体"/>
                <w:color w:val="auto"/>
                <w:kern w:val="0"/>
                <w:szCs w:val="21"/>
              </w:rPr>
              <w:t>。（提供团委注册文件复印件）</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3.2</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项目合作院校安排专责人员，负责与基金会联系，指导和协调“伯藜学社”开展针对陶学子的心智赋能、学业赋能、实践赋能和创业赋能等活动。</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10</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已安排专责人员得</w:t>
            </w:r>
            <w:r>
              <w:rPr>
                <w:rFonts w:ascii="仿宋" w:hAnsi="仿宋" w:eastAsia="仿宋" w:cs="宋体"/>
                <w:color w:val="auto"/>
                <w:kern w:val="0"/>
                <w:szCs w:val="21"/>
              </w:rPr>
              <w:t>5分；</w:t>
            </w:r>
          </w:p>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围绕四大赋能开展活动得</w:t>
            </w:r>
            <w:r>
              <w:rPr>
                <w:rFonts w:ascii="仿宋" w:hAnsi="仿宋" w:eastAsia="仿宋" w:cs="宋体"/>
                <w:color w:val="auto"/>
                <w:kern w:val="0"/>
                <w:szCs w:val="21"/>
              </w:rPr>
              <w:t>5分。</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3.3</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项目合作院校指导老师积极引导陶学子参与伯藜之星、项目制、创业等活动、并对相关材料进行必要的把关和指导</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未开展此项工作的按</w:t>
            </w:r>
            <w:r>
              <w:rPr>
                <w:rFonts w:ascii="仿宋" w:hAnsi="仿宋" w:eastAsia="仿宋" w:cs="宋体"/>
                <w:color w:val="auto"/>
                <w:kern w:val="0"/>
                <w:szCs w:val="21"/>
              </w:rPr>
              <w:t>0分计。</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851"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vAlign w:val="center"/>
          </w:tcPr>
          <w:p>
            <w:pPr>
              <w:widowControl/>
              <w:suppressAutoHyphens w:val="0"/>
              <w:jc w:val="left"/>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3.4</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指导伯藜学社制作年刊</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未制作年刊按0分计</w:t>
            </w: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p>
        </w:tc>
        <w:tc>
          <w:tcPr>
            <w:tcW w:w="851" w:type="dxa"/>
            <w:shd w:val="clear" w:color="auto" w:fill="auto"/>
            <w:vAlign w:val="center"/>
          </w:tcPr>
          <w:p>
            <w:pPr>
              <w:widowControl/>
              <w:suppressAutoHyphens w:val="0"/>
              <w:jc w:val="left"/>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794" w:type="dxa"/>
            <w:gridSpan w:val="3"/>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小计</w:t>
            </w:r>
          </w:p>
        </w:tc>
        <w:tc>
          <w:tcPr>
            <w:tcW w:w="709"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1</w:t>
            </w:r>
            <w:r>
              <w:rPr>
                <w:rFonts w:ascii="仿宋" w:hAnsi="仿宋" w:eastAsia="仿宋" w:cs="宋体"/>
                <w:color w:val="auto"/>
                <w:kern w:val="0"/>
                <w:szCs w:val="21"/>
              </w:rPr>
              <w:t>00</w:t>
            </w:r>
          </w:p>
        </w:tc>
        <w:tc>
          <w:tcPr>
            <w:tcW w:w="6379" w:type="dxa"/>
            <w:gridSpan w:val="2"/>
            <w:shd w:val="clear" w:color="auto" w:fill="auto"/>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小计</w:t>
            </w:r>
          </w:p>
        </w:tc>
        <w:tc>
          <w:tcPr>
            <w:tcW w:w="850" w:type="dxa"/>
            <w:shd w:val="clear" w:color="auto" w:fill="auto"/>
            <w:vAlign w:val="center"/>
          </w:tcPr>
          <w:p>
            <w:pPr>
              <w:widowControl/>
              <w:suppressAutoHyphens w:val="0"/>
              <w:jc w:val="left"/>
              <w:rPr>
                <w:rFonts w:ascii="仿宋" w:hAnsi="仿宋" w:eastAsia="仿宋" w:cs="宋体"/>
                <w:color w:val="auto"/>
                <w:kern w:val="0"/>
                <w:szCs w:val="21"/>
              </w:rPr>
            </w:pPr>
          </w:p>
        </w:tc>
        <w:tc>
          <w:tcPr>
            <w:tcW w:w="851" w:type="dxa"/>
            <w:shd w:val="clear" w:color="auto" w:fill="auto"/>
            <w:vAlign w:val="center"/>
          </w:tcPr>
          <w:p>
            <w:pPr>
              <w:widowControl/>
              <w:suppressAutoHyphens w:val="0"/>
              <w:jc w:val="left"/>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restart"/>
            <w:shd w:val="clear" w:color="auto" w:fill="auto"/>
            <w:vAlign w:val="center"/>
          </w:tcPr>
          <w:p>
            <w:pPr>
              <w:widowControl/>
              <w:suppressAutoHyphens w:val="0"/>
              <w:jc w:val="center"/>
              <w:rPr>
                <w:rFonts w:ascii="仿宋" w:hAnsi="仿宋" w:eastAsia="仿宋" w:cs="宋体"/>
                <w:bCs/>
                <w:color w:val="auto"/>
                <w:kern w:val="0"/>
                <w:szCs w:val="21"/>
              </w:rPr>
            </w:pPr>
            <w:r>
              <w:rPr>
                <w:rFonts w:hint="eastAsia" w:ascii="仿宋" w:hAnsi="仿宋" w:eastAsia="仿宋" w:cs="宋体"/>
                <w:bCs/>
                <w:color w:val="auto"/>
                <w:kern w:val="0"/>
                <w:szCs w:val="21"/>
              </w:rPr>
              <w:t>附加项目</w:t>
            </w:r>
          </w:p>
        </w:tc>
        <w:tc>
          <w:tcPr>
            <w:tcW w:w="567" w:type="dxa"/>
            <w:shd w:val="clear" w:color="auto" w:fill="auto"/>
            <w:vAlign w:val="center"/>
          </w:tcPr>
          <w:p>
            <w:pPr>
              <w:widowControl/>
              <w:suppressAutoHyphens w:val="0"/>
              <w:jc w:val="center"/>
              <w:rPr>
                <w:rFonts w:ascii="仿宋" w:hAnsi="仿宋" w:eastAsia="仿宋" w:cs="宋体"/>
                <w:bCs/>
                <w:color w:val="auto"/>
                <w:kern w:val="0"/>
                <w:szCs w:val="21"/>
              </w:rPr>
            </w:pPr>
            <w:r>
              <w:rPr>
                <w:rFonts w:ascii="仿宋" w:hAnsi="仿宋" w:eastAsia="仿宋" w:cs="宋体"/>
                <w:bCs/>
                <w:color w:val="auto"/>
                <w:kern w:val="0"/>
                <w:szCs w:val="21"/>
              </w:rPr>
              <w:t>4.1</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项目学校组织陶学子参加校内的创业SYB、KAB的讲座、积极协调陶学子参加创业计划大赛。</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p>
        </w:tc>
        <w:tc>
          <w:tcPr>
            <w:tcW w:w="851" w:type="dxa"/>
            <w:shd w:val="clear" w:color="auto" w:fill="auto"/>
            <w:vAlign w:val="center"/>
          </w:tcPr>
          <w:p>
            <w:pPr>
              <w:widowControl/>
              <w:suppressAutoHyphens w:val="0"/>
              <w:jc w:val="center"/>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699" w:type="dxa"/>
            <w:vMerge w:val="continue"/>
            <w:shd w:val="clear" w:color="auto" w:fill="auto"/>
            <w:vAlign w:val="center"/>
          </w:tcPr>
          <w:p>
            <w:pPr>
              <w:widowControl/>
              <w:suppressAutoHyphens w:val="0"/>
              <w:jc w:val="center"/>
              <w:rPr>
                <w:rFonts w:ascii="仿宋" w:hAnsi="仿宋" w:eastAsia="仿宋" w:cs="宋体"/>
                <w:bCs/>
                <w:color w:val="auto"/>
                <w:kern w:val="0"/>
                <w:szCs w:val="21"/>
              </w:rPr>
            </w:pPr>
          </w:p>
        </w:tc>
        <w:tc>
          <w:tcPr>
            <w:tcW w:w="567" w:type="dxa"/>
            <w:shd w:val="clear" w:color="auto" w:fill="auto"/>
            <w:vAlign w:val="center"/>
          </w:tcPr>
          <w:p>
            <w:pPr>
              <w:widowControl/>
              <w:suppressAutoHyphens w:val="0"/>
              <w:jc w:val="center"/>
              <w:rPr>
                <w:rFonts w:ascii="仿宋" w:hAnsi="仿宋" w:eastAsia="仿宋" w:cs="宋体"/>
                <w:bCs/>
                <w:color w:val="auto"/>
                <w:kern w:val="0"/>
                <w:szCs w:val="21"/>
              </w:rPr>
            </w:pPr>
            <w:r>
              <w:rPr>
                <w:rFonts w:ascii="仿宋" w:hAnsi="仿宋" w:eastAsia="仿宋" w:cs="宋体"/>
                <w:bCs/>
                <w:color w:val="auto"/>
                <w:kern w:val="0"/>
                <w:szCs w:val="21"/>
              </w:rPr>
              <w:t>4.2</w:t>
            </w:r>
          </w:p>
        </w:tc>
        <w:tc>
          <w:tcPr>
            <w:tcW w:w="5528" w:type="dxa"/>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为学校内创业陶学子寻找创业导师，积极协调校内外资源，指导陶学子创业。</w:t>
            </w:r>
          </w:p>
        </w:tc>
        <w:tc>
          <w:tcPr>
            <w:tcW w:w="709" w:type="dxa"/>
            <w:shd w:val="clear" w:color="auto" w:fill="auto"/>
            <w:vAlign w:val="center"/>
          </w:tcPr>
          <w:p>
            <w:pPr>
              <w:widowControl/>
              <w:suppressAutoHyphens w:val="0"/>
              <w:jc w:val="center"/>
              <w:rPr>
                <w:rFonts w:ascii="仿宋" w:hAnsi="仿宋" w:eastAsia="仿宋" w:cs="宋体"/>
                <w:color w:val="auto"/>
                <w:kern w:val="0"/>
                <w:szCs w:val="21"/>
              </w:rPr>
            </w:pPr>
            <w:r>
              <w:rPr>
                <w:rFonts w:ascii="仿宋" w:hAnsi="仿宋" w:eastAsia="仿宋" w:cs="宋体"/>
                <w:color w:val="auto"/>
                <w:kern w:val="0"/>
                <w:szCs w:val="21"/>
              </w:rPr>
              <w:t>5</w:t>
            </w:r>
          </w:p>
        </w:tc>
        <w:tc>
          <w:tcPr>
            <w:tcW w:w="4536" w:type="dxa"/>
            <w:shd w:val="clear" w:color="auto" w:fill="auto"/>
            <w:vAlign w:val="center"/>
          </w:tcPr>
          <w:p>
            <w:pPr>
              <w:widowControl/>
              <w:suppressAutoHyphens w:val="0"/>
              <w:jc w:val="left"/>
              <w:rPr>
                <w:rFonts w:ascii="仿宋" w:hAnsi="仿宋" w:eastAsia="仿宋" w:cs="宋体"/>
                <w:color w:val="auto"/>
                <w:kern w:val="0"/>
                <w:szCs w:val="21"/>
              </w:rPr>
            </w:pPr>
          </w:p>
        </w:tc>
        <w:tc>
          <w:tcPr>
            <w:tcW w:w="1843" w:type="dxa"/>
            <w:shd w:val="clear" w:color="auto" w:fill="auto"/>
            <w:vAlign w:val="center"/>
          </w:tcPr>
          <w:p>
            <w:pPr>
              <w:widowControl/>
              <w:suppressAutoHyphens w:val="0"/>
              <w:jc w:val="left"/>
              <w:rPr>
                <w:rFonts w:ascii="仿宋" w:hAnsi="仿宋" w:eastAsia="仿宋" w:cs="宋体"/>
                <w:color w:val="auto"/>
                <w:kern w:val="0"/>
                <w:szCs w:val="21"/>
              </w:rPr>
            </w:pPr>
          </w:p>
        </w:tc>
        <w:tc>
          <w:tcPr>
            <w:tcW w:w="850" w:type="dxa"/>
            <w:shd w:val="clear" w:color="auto" w:fill="auto"/>
            <w:vAlign w:val="center"/>
          </w:tcPr>
          <w:p>
            <w:pPr>
              <w:widowControl/>
              <w:suppressAutoHyphens w:val="0"/>
              <w:jc w:val="center"/>
              <w:rPr>
                <w:rFonts w:ascii="仿宋" w:hAnsi="仿宋" w:eastAsia="仿宋" w:cs="宋体"/>
                <w:color w:val="auto"/>
                <w:kern w:val="0"/>
                <w:szCs w:val="21"/>
              </w:rPr>
            </w:pPr>
          </w:p>
        </w:tc>
        <w:tc>
          <w:tcPr>
            <w:tcW w:w="851" w:type="dxa"/>
            <w:shd w:val="clear" w:color="auto" w:fill="auto"/>
            <w:vAlign w:val="center"/>
          </w:tcPr>
          <w:p>
            <w:pPr>
              <w:widowControl/>
              <w:suppressAutoHyphens w:val="0"/>
              <w:jc w:val="center"/>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6794" w:type="dxa"/>
            <w:gridSpan w:val="3"/>
            <w:shd w:val="clear" w:color="auto" w:fill="auto"/>
            <w:vAlign w:val="center"/>
          </w:tcPr>
          <w:p>
            <w:pPr>
              <w:widowControl/>
              <w:suppressAutoHyphens w:val="0"/>
              <w:jc w:val="center"/>
              <w:rPr>
                <w:rFonts w:ascii="仿宋" w:hAnsi="仿宋" w:eastAsia="仿宋" w:cs="宋体"/>
                <w:bCs/>
                <w:color w:val="auto"/>
                <w:kern w:val="0"/>
                <w:szCs w:val="21"/>
              </w:rPr>
            </w:pPr>
            <w:r>
              <w:rPr>
                <w:rFonts w:hint="eastAsia" w:ascii="仿宋" w:hAnsi="仿宋" w:eastAsia="仿宋" w:cs="宋体"/>
                <w:bCs/>
                <w:color w:val="auto"/>
                <w:kern w:val="0"/>
                <w:szCs w:val="21"/>
              </w:rPr>
              <w:t>合计</w:t>
            </w:r>
          </w:p>
        </w:tc>
        <w:tc>
          <w:tcPr>
            <w:tcW w:w="709" w:type="dxa"/>
            <w:shd w:val="clear" w:color="auto" w:fill="auto"/>
            <w:vAlign w:val="center"/>
          </w:tcPr>
          <w:p>
            <w:pPr>
              <w:widowControl/>
              <w:suppressAutoHyphens w:val="0"/>
              <w:jc w:val="center"/>
              <w:rPr>
                <w:rFonts w:ascii="仿宋" w:hAnsi="仿宋" w:eastAsia="仿宋" w:cs="宋体"/>
                <w:bCs/>
                <w:color w:val="auto"/>
                <w:kern w:val="0"/>
                <w:szCs w:val="21"/>
              </w:rPr>
            </w:pPr>
            <w:r>
              <w:rPr>
                <w:rFonts w:ascii="仿宋" w:hAnsi="仿宋" w:eastAsia="仿宋" w:cs="宋体"/>
                <w:bCs/>
                <w:color w:val="auto"/>
                <w:kern w:val="0"/>
                <w:szCs w:val="21"/>
              </w:rPr>
              <w:t>110</w:t>
            </w:r>
          </w:p>
        </w:tc>
        <w:tc>
          <w:tcPr>
            <w:tcW w:w="6379" w:type="dxa"/>
            <w:gridSpan w:val="2"/>
            <w:shd w:val="clear" w:color="auto" w:fill="auto"/>
            <w:vAlign w:val="center"/>
          </w:tcPr>
          <w:p>
            <w:pPr>
              <w:widowControl/>
              <w:suppressAutoHyphens w:val="0"/>
              <w:jc w:val="left"/>
              <w:rPr>
                <w:rFonts w:ascii="仿宋" w:hAnsi="仿宋" w:eastAsia="仿宋" w:cs="宋体"/>
                <w:color w:val="auto"/>
                <w:kern w:val="0"/>
                <w:szCs w:val="21"/>
              </w:rPr>
            </w:pPr>
            <w:r>
              <w:rPr>
                <w:rFonts w:hint="eastAsia" w:ascii="仿宋" w:hAnsi="仿宋" w:eastAsia="仿宋" w:cs="宋体"/>
                <w:color w:val="auto"/>
                <w:kern w:val="0"/>
                <w:szCs w:val="21"/>
              </w:rPr>
              <w:t>合计</w:t>
            </w:r>
          </w:p>
        </w:tc>
        <w:tc>
          <w:tcPr>
            <w:tcW w:w="850" w:type="dxa"/>
            <w:shd w:val="clear" w:color="auto" w:fill="auto"/>
            <w:vAlign w:val="center"/>
          </w:tcPr>
          <w:p>
            <w:pPr>
              <w:widowControl/>
              <w:suppressAutoHyphens w:val="0"/>
              <w:jc w:val="left"/>
              <w:rPr>
                <w:rFonts w:ascii="仿宋" w:hAnsi="仿宋" w:eastAsia="仿宋" w:cs="宋体"/>
                <w:color w:val="auto"/>
                <w:kern w:val="0"/>
                <w:szCs w:val="21"/>
              </w:rPr>
            </w:pPr>
          </w:p>
        </w:tc>
        <w:tc>
          <w:tcPr>
            <w:tcW w:w="851" w:type="dxa"/>
            <w:shd w:val="clear" w:color="auto" w:fill="auto"/>
            <w:vAlign w:val="center"/>
          </w:tcPr>
          <w:p>
            <w:pPr>
              <w:widowControl/>
              <w:suppressAutoHyphens w:val="0"/>
              <w:jc w:val="left"/>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14732" w:type="dxa"/>
            <w:gridSpan w:val="7"/>
            <w:shd w:val="clear" w:color="auto" w:fill="auto"/>
            <w:vAlign w:val="center"/>
          </w:tcPr>
          <w:p>
            <w:pPr>
              <w:widowControl/>
              <w:suppressAutoHyphens w:val="0"/>
              <w:jc w:val="center"/>
              <w:rPr>
                <w:rFonts w:ascii="仿宋" w:hAnsi="仿宋" w:eastAsia="仿宋" w:cs="宋体"/>
                <w:bCs/>
                <w:color w:val="auto"/>
                <w:kern w:val="0"/>
                <w:szCs w:val="21"/>
              </w:rPr>
            </w:pPr>
            <w:r>
              <w:rPr>
                <w:rFonts w:hint="eastAsia" w:ascii="仿宋" w:hAnsi="仿宋" w:eastAsia="仿宋" w:cs="宋体"/>
                <w:bCs/>
                <w:color w:val="auto"/>
                <w:kern w:val="0"/>
                <w:szCs w:val="21"/>
              </w:rPr>
              <w:t>评估总分</w:t>
            </w:r>
          </w:p>
        </w:tc>
        <w:tc>
          <w:tcPr>
            <w:tcW w:w="851" w:type="dxa"/>
            <w:shd w:val="clear" w:color="auto" w:fill="auto"/>
            <w:vAlign w:val="center"/>
          </w:tcPr>
          <w:p>
            <w:pPr>
              <w:widowControl/>
              <w:suppressAutoHyphens w:val="0"/>
              <w:jc w:val="center"/>
              <w:rPr>
                <w:rFonts w:ascii="仿宋" w:hAnsi="仿宋" w:eastAsia="仿宋" w:cs="宋体"/>
                <w:color w:val="auto"/>
                <w:kern w:val="0"/>
                <w:szCs w:val="21"/>
              </w:rPr>
            </w:pPr>
          </w:p>
        </w:tc>
      </w:tr>
    </w:tbl>
    <w:p>
      <w:pPr>
        <w:rPr>
          <w:color w:val="auto"/>
        </w:rPr>
      </w:pPr>
    </w:p>
    <w:p>
      <w:pPr>
        <w:jc w:val="center"/>
        <w:rPr>
          <w:rFonts w:ascii="宋体" w:hAnsi="宋体"/>
          <w:color w:val="auto"/>
        </w:rPr>
      </w:pPr>
      <w:r>
        <w:rPr>
          <w:rFonts w:hint="eastAsia" w:ascii="华文中宋" w:hAnsi="华文中宋" w:eastAsia="华文中宋"/>
          <w:b/>
          <w:color w:val="auto"/>
          <w:sz w:val="32"/>
        </w:rPr>
        <w:t xml:space="preserve"> </w:t>
      </w:r>
    </w:p>
    <w:bookmarkEnd w:id="2"/>
    <w:sectPr>
      <w:headerReference r:id="rId5" w:type="default"/>
      <w:pgSz w:w="16838" w:h="11906" w:orient="landscape"/>
      <w:pgMar w:top="1701" w:right="709" w:bottom="1701" w:left="1276" w:header="42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康黑体W7(P)">
    <w:altName w:val="黑体"/>
    <w:panose1 w:val="020B0700000000000000"/>
    <w:charset w:val="86"/>
    <w:family w:val="swiss"/>
    <w:pitch w:val="default"/>
    <w:sig w:usb0="00000000" w:usb1="00000000" w:usb2="00000012" w:usb3="00000000" w:csb0="00040000" w:csb1="00000000"/>
  </w:font>
  <w:font w:name="Frutiger LT Std 45 Light">
    <w:altName w:val="Yu Gothic UI Semilight"/>
    <w:panose1 w:val="020B0402020204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Frutiger LT Std 45 Light" w:hAnsi="Frutiger LT Std 45 Light"/>
        <w:sz w:val="20"/>
        <w:szCs w:val="20"/>
        <w:lang w:val="zh-CN"/>
      </w:rPr>
    </w:pPr>
    <w:r>
      <w:rPr>
        <w:rFonts w:ascii="Frutiger LT Std 45 Light" w:hAnsi="Frutiger LT Std 45 Light"/>
        <w:sz w:val="20"/>
        <w:szCs w:val="20"/>
        <w:lang w:val="zh-CN"/>
      </w:rPr>
      <w:fldChar w:fldCharType="begin"/>
    </w:r>
    <w:r>
      <w:rPr>
        <w:rFonts w:ascii="Frutiger LT Std 45 Light" w:hAnsi="Frutiger LT Std 45 Light"/>
        <w:sz w:val="20"/>
        <w:szCs w:val="20"/>
        <w:lang w:val="zh-CN"/>
      </w:rPr>
      <w:instrText xml:space="preserve">PAGE   \* MERGEFORMAT</w:instrText>
    </w:r>
    <w:r>
      <w:rPr>
        <w:rFonts w:ascii="Frutiger LT Std 45 Light" w:hAnsi="Frutiger LT Std 45 Light"/>
        <w:sz w:val="20"/>
        <w:szCs w:val="20"/>
        <w:lang w:val="zh-CN"/>
      </w:rPr>
      <w:fldChar w:fldCharType="separate"/>
    </w:r>
    <w:r>
      <w:rPr>
        <w:rFonts w:ascii="Frutiger LT Std 45 Light" w:hAnsi="Frutiger LT Std 45 Light"/>
        <w:sz w:val="20"/>
        <w:szCs w:val="20"/>
        <w:lang w:val="zh-CN"/>
      </w:rPr>
      <w:t>4</w:t>
    </w:r>
    <w:r>
      <w:rPr>
        <w:rFonts w:ascii="Frutiger LT Std 45 Light" w:hAnsi="Frutiger LT Std 45 Light"/>
        <w:sz w:val="20"/>
        <w:szCs w:val="20"/>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7E"/>
    <w:rsid w:val="00031908"/>
    <w:rsid w:val="00032524"/>
    <w:rsid w:val="00037538"/>
    <w:rsid w:val="00040686"/>
    <w:rsid w:val="000421D6"/>
    <w:rsid w:val="00046D54"/>
    <w:rsid w:val="00061AE7"/>
    <w:rsid w:val="00061E67"/>
    <w:rsid w:val="00062E80"/>
    <w:rsid w:val="00082152"/>
    <w:rsid w:val="000841FF"/>
    <w:rsid w:val="00086BDA"/>
    <w:rsid w:val="00091211"/>
    <w:rsid w:val="0009169C"/>
    <w:rsid w:val="0009265C"/>
    <w:rsid w:val="000A4FE3"/>
    <w:rsid w:val="000A5570"/>
    <w:rsid w:val="000B5855"/>
    <w:rsid w:val="000C5A69"/>
    <w:rsid w:val="000D6272"/>
    <w:rsid w:val="000D7BB9"/>
    <w:rsid w:val="000D7FCF"/>
    <w:rsid w:val="000F0895"/>
    <w:rsid w:val="000F3506"/>
    <w:rsid w:val="001013C5"/>
    <w:rsid w:val="0010353B"/>
    <w:rsid w:val="00104505"/>
    <w:rsid w:val="00104B7F"/>
    <w:rsid w:val="00111B95"/>
    <w:rsid w:val="001130B3"/>
    <w:rsid w:val="00113C1D"/>
    <w:rsid w:val="00113FCF"/>
    <w:rsid w:val="001158D3"/>
    <w:rsid w:val="00115FE8"/>
    <w:rsid w:val="00116A46"/>
    <w:rsid w:val="00127876"/>
    <w:rsid w:val="00147D2B"/>
    <w:rsid w:val="001520D4"/>
    <w:rsid w:val="00163D5A"/>
    <w:rsid w:val="00164ADF"/>
    <w:rsid w:val="001716B7"/>
    <w:rsid w:val="001720FB"/>
    <w:rsid w:val="00176C7F"/>
    <w:rsid w:val="001771B2"/>
    <w:rsid w:val="0018196A"/>
    <w:rsid w:val="001875E7"/>
    <w:rsid w:val="00191D82"/>
    <w:rsid w:val="00195468"/>
    <w:rsid w:val="001955AF"/>
    <w:rsid w:val="001961A9"/>
    <w:rsid w:val="001978A4"/>
    <w:rsid w:val="001A018C"/>
    <w:rsid w:val="001C1317"/>
    <w:rsid w:val="001C5FE5"/>
    <w:rsid w:val="001C70D7"/>
    <w:rsid w:val="001D02F9"/>
    <w:rsid w:val="001D6BA7"/>
    <w:rsid w:val="001E0AD3"/>
    <w:rsid w:val="001E3079"/>
    <w:rsid w:val="001E6CF7"/>
    <w:rsid w:val="001E73D3"/>
    <w:rsid w:val="001F4636"/>
    <w:rsid w:val="00201579"/>
    <w:rsid w:val="00204130"/>
    <w:rsid w:val="002116B9"/>
    <w:rsid w:val="002132CE"/>
    <w:rsid w:val="0022152D"/>
    <w:rsid w:val="00225DCD"/>
    <w:rsid w:val="00227B91"/>
    <w:rsid w:val="002301AA"/>
    <w:rsid w:val="00232025"/>
    <w:rsid w:val="00234660"/>
    <w:rsid w:val="002377B9"/>
    <w:rsid w:val="00245992"/>
    <w:rsid w:val="002468B0"/>
    <w:rsid w:val="00251764"/>
    <w:rsid w:val="00253604"/>
    <w:rsid w:val="00254A05"/>
    <w:rsid w:val="00256451"/>
    <w:rsid w:val="00261FDD"/>
    <w:rsid w:val="002631E9"/>
    <w:rsid w:val="00265E8A"/>
    <w:rsid w:val="00272DA5"/>
    <w:rsid w:val="00273E89"/>
    <w:rsid w:val="00275A70"/>
    <w:rsid w:val="00277D28"/>
    <w:rsid w:val="0028577F"/>
    <w:rsid w:val="00293860"/>
    <w:rsid w:val="00293966"/>
    <w:rsid w:val="00293B72"/>
    <w:rsid w:val="00294FFC"/>
    <w:rsid w:val="0029703D"/>
    <w:rsid w:val="002A0778"/>
    <w:rsid w:val="002A637A"/>
    <w:rsid w:val="002B1610"/>
    <w:rsid w:val="002B22CA"/>
    <w:rsid w:val="002B2A08"/>
    <w:rsid w:val="002B52F3"/>
    <w:rsid w:val="002D55D1"/>
    <w:rsid w:val="002D7699"/>
    <w:rsid w:val="002F0E26"/>
    <w:rsid w:val="002F29AA"/>
    <w:rsid w:val="00301429"/>
    <w:rsid w:val="0031213C"/>
    <w:rsid w:val="00313EA9"/>
    <w:rsid w:val="003144D5"/>
    <w:rsid w:val="00316E20"/>
    <w:rsid w:val="00320041"/>
    <w:rsid w:val="00320CA3"/>
    <w:rsid w:val="0032558A"/>
    <w:rsid w:val="0033290F"/>
    <w:rsid w:val="00342E84"/>
    <w:rsid w:val="00346976"/>
    <w:rsid w:val="00347423"/>
    <w:rsid w:val="00347C13"/>
    <w:rsid w:val="003514C0"/>
    <w:rsid w:val="0036429D"/>
    <w:rsid w:val="00367CB4"/>
    <w:rsid w:val="003731CC"/>
    <w:rsid w:val="00380A78"/>
    <w:rsid w:val="00381072"/>
    <w:rsid w:val="003A415D"/>
    <w:rsid w:val="003A4409"/>
    <w:rsid w:val="003A4D61"/>
    <w:rsid w:val="003A7DC4"/>
    <w:rsid w:val="003B1557"/>
    <w:rsid w:val="003B2BE4"/>
    <w:rsid w:val="003B4892"/>
    <w:rsid w:val="003C20EF"/>
    <w:rsid w:val="003D0796"/>
    <w:rsid w:val="003D4999"/>
    <w:rsid w:val="003E2F76"/>
    <w:rsid w:val="00402A4F"/>
    <w:rsid w:val="00402FF5"/>
    <w:rsid w:val="00404DA4"/>
    <w:rsid w:val="004102C6"/>
    <w:rsid w:val="00413249"/>
    <w:rsid w:val="00413CA5"/>
    <w:rsid w:val="004251B4"/>
    <w:rsid w:val="00426713"/>
    <w:rsid w:val="00431582"/>
    <w:rsid w:val="00441C74"/>
    <w:rsid w:val="0044382A"/>
    <w:rsid w:val="00445C2F"/>
    <w:rsid w:val="004479BD"/>
    <w:rsid w:val="00452953"/>
    <w:rsid w:val="004656C5"/>
    <w:rsid w:val="004711A6"/>
    <w:rsid w:val="004747CE"/>
    <w:rsid w:val="00474B0A"/>
    <w:rsid w:val="0048655F"/>
    <w:rsid w:val="004B161A"/>
    <w:rsid w:val="004B518B"/>
    <w:rsid w:val="004B7E7D"/>
    <w:rsid w:val="004C073B"/>
    <w:rsid w:val="004C0C5B"/>
    <w:rsid w:val="004C5AE1"/>
    <w:rsid w:val="004D05ED"/>
    <w:rsid w:val="004D31A1"/>
    <w:rsid w:val="004E0578"/>
    <w:rsid w:val="004E2CD2"/>
    <w:rsid w:val="004E2CE3"/>
    <w:rsid w:val="004F4C51"/>
    <w:rsid w:val="004F5D64"/>
    <w:rsid w:val="004F6435"/>
    <w:rsid w:val="005050AB"/>
    <w:rsid w:val="00510FD4"/>
    <w:rsid w:val="00516097"/>
    <w:rsid w:val="00516614"/>
    <w:rsid w:val="00520264"/>
    <w:rsid w:val="00520D07"/>
    <w:rsid w:val="005236BD"/>
    <w:rsid w:val="005255C9"/>
    <w:rsid w:val="005260C4"/>
    <w:rsid w:val="00527181"/>
    <w:rsid w:val="00534337"/>
    <w:rsid w:val="00554D81"/>
    <w:rsid w:val="00555A64"/>
    <w:rsid w:val="005640DA"/>
    <w:rsid w:val="00566926"/>
    <w:rsid w:val="005761AC"/>
    <w:rsid w:val="00576705"/>
    <w:rsid w:val="005821A1"/>
    <w:rsid w:val="00584213"/>
    <w:rsid w:val="00586888"/>
    <w:rsid w:val="00594828"/>
    <w:rsid w:val="00597910"/>
    <w:rsid w:val="00597970"/>
    <w:rsid w:val="005B33AA"/>
    <w:rsid w:val="005B5898"/>
    <w:rsid w:val="005C0C2D"/>
    <w:rsid w:val="005D0A16"/>
    <w:rsid w:val="005D4555"/>
    <w:rsid w:val="005E1B13"/>
    <w:rsid w:val="005E2DCB"/>
    <w:rsid w:val="005E3015"/>
    <w:rsid w:val="005F1BF0"/>
    <w:rsid w:val="005F41F1"/>
    <w:rsid w:val="005F4812"/>
    <w:rsid w:val="0062340C"/>
    <w:rsid w:val="00634685"/>
    <w:rsid w:val="00634FFA"/>
    <w:rsid w:val="00644055"/>
    <w:rsid w:val="006519F7"/>
    <w:rsid w:val="00653F94"/>
    <w:rsid w:val="00654C13"/>
    <w:rsid w:val="00656EB8"/>
    <w:rsid w:val="006627E5"/>
    <w:rsid w:val="006677F0"/>
    <w:rsid w:val="00670ACE"/>
    <w:rsid w:val="00672A24"/>
    <w:rsid w:val="00673D90"/>
    <w:rsid w:val="00685875"/>
    <w:rsid w:val="00685977"/>
    <w:rsid w:val="00691B76"/>
    <w:rsid w:val="006A6DC0"/>
    <w:rsid w:val="006C246C"/>
    <w:rsid w:val="006C583A"/>
    <w:rsid w:val="006D1863"/>
    <w:rsid w:val="006D5078"/>
    <w:rsid w:val="006D675C"/>
    <w:rsid w:val="006E241C"/>
    <w:rsid w:val="006E2486"/>
    <w:rsid w:val="006E73A0"/>
    <w:rsid w:val="006F652A"/>
    <w:rsid w:val="00711BDB"/>
    <w:rsid w:val="00713028"/>
    <w:rsid w:val="00735CF2"/>
    <w:rsid w:val="00750423"/>
    <w:rsid w:val="00751020"/>
    <w:rsid w:val="00751D59"/>
    <w:rsid w:val="0077234D"/>
    <w:rsid w:val="00777C99"/>
    <w:rsid w:val="00787B7F"/>
    <w:rsid w:val="00787EAB"/>
    <w:rsid w:val="007933B8"/>
    <w:rsid w:val="007949F9"/>
    <w:rsid w:val="007950A7"/>
    <w:rsid w:val="007A7E42"/>
    <w:rsid w:val="007B1EE3"/>
    <w:rsid w:val="007B2DD0"/>
    <w:rsid w:val="007B5BF5"/>
    <w:rsid w:val="007B7A05"/>
    <w:rsid w:val="007C1BD2"/>
    <w:rsid w:val="007C524C"/>
    <w:rsid w:val="007C64A3"/>
    <w:rsid w:val="007C7A8D"/>
    <w:rsid w:val="007D1845"/>
    <w:rsid w:val="007D3BEE"/>
    <w:rsid w:val="007E3F2E"/>
    <w:rsid w:val="007F3580"/>
    <w:rsid w:val="007F6E44"/>
    <w:rsid w:val="00801E45"/>
    <w:rsid w:val="00803F9A"/>
    <w:rsid w:val="00811107"/>
    <w:rsid w:val="0082362F"/>
    <w:rsid w:val="008250C2"/>
    <w:rsid w:val="00825BC7"/>
    <w:rsid w:val="00827EF6"/>
    <w:rsid w:val="00835DAF"/>
    <w:rsid w:val="00843EAB"/>
    <w:rsid w:val="008563A5"/>
    <w:rsid w:val="00861BF2"/>
    <w:rsid w:val="00864BF8"/>
    <w:rsid w:val="008731CE"/>
    <w:rsid w:val="00883BB4"/>
    <w:rsid w:val="008B2519"/>
    <w:rsid w:val="008B25FE"/>
    <w:rsid w:val="008B2913"/>
    <w:rsid w:val="0090276B"/>
    <w:rsid w:val="00902978"/>
    <w:rsid w:val="009150FF"/>
    <w:rsid w:val="009226AB"/>
    <w:rsid w:val="00934662"/>
    <w:rsid w:val="0094028D"/>
    <w:rsid w:val="00945EE8"/>
    <w:rsid w:val="0094678F"/>
    <w:rsid w:val="00952B0B"/>
    <w:rsid w:val="00962B21"/>
    <w:rsid w:val="0096784C"/>
    <w:rsid w:val="00973659"/>
    <w:rsid w:val="0097461C"/>
    <w:rsid w:val="0097579A"/>
    <w:rsid w:val="009857FA"/>
    <w:rsid w:val="00985F96"/>
    <w:rsid w:val="00986538"/>
    <w:rsid w:val="00992E04"/>
    <w:rsid w:val="0099478B"/>
    <w:rsid w:val="00997F59"/>
    <w:rsid w:val="009A0F1F"/>
    <w:rsid w:val="009A6428"/>
    <w:rsid w:val="009B2B1F"/>
    <w:rsid w:val="009B40D2"/>
    <w:rsid w:val="009B5B5A"/>
    <w:rsid w:val="009D37B8"/>
    <w:rsid w:val="009E06AB"/>
    <w:rsid w:val="009E1A37"/>
    <w:rsid w:val="009E59A3"/>
    <w:rsid w:val="009E6B9B"/>
    <w:rsid w:val="009F621B"/>
    <w:rsid w:val="009F6B5E"/>
    <w:rsid w:val="00A06F88"/>
    <w:rsid w:val="00A12484"/>
    <w:rsid w:val="00A17B1F"/>
    <w:rsid w:val="00A2582A"/>
    <w:rsid w:val="00A54119"/>
    <w:rsid w:val="00A56003"/>
    <w:rsid w:val="00A5766E"/>
    <w:rsid w:val="00A64987"/>
    <w:rsid w:val="00A71FDC"/>
    <w:rsid w:val="00A7272F"/>
    <w:rsid w:val="00A77C6B"/>
    <w:rsid w:val="00A83653"/>
    <w:rsid w:val="00A878AD"/>
    <w:rsid w:val="00A97480"/>
    <w:rsid w:val="00AA0452"/>
    <w:rsid w:val="00AB41AD"/>
    <w:rsid w:val="00AC2C23"/>
    <w:rsid w:val="00AC3940"/>
    <w:rsid w:val="00AC56E7"/>
    <w:rsid w:val="00AC7714"/>
    <w:rsid w:val="00AE0341"/>
    <w:rsid w:val="00AE2D74"/>
    <w:rsid w:val="00AE7487"/>
    <w:rsid w:val="00AF170A"/>
    <w:rsid w:val="00AF2252"/>
    <w:rsid w:val="00AF427E"/>
    <w:rsid w:val="00AF4361"/>
    <w:rsid w:val="00B01C5A"/>
    <w:rsid w:val="00B062F4"/>
    <w:rsid w:val="00B075B8"/>
    <w:rsid w:val="00B237E5"/>
    <w:rsid w:val="00B25949"/>
    <w:rsid w:val="00B262C6"/>
    <w:rsid w:val="00B337C0"/>
    <w:rsid w:val="00B37973"/>
    <w:rsid w:val="00B53E61"/>
    <w:rsid w:val="00B5558E"/>
    <w:rsid w:val="00B62199"/>
    <w:rsid w:val="00B63A82"/>
    <w:rsid w:val="00B6656F"/>
    <w:rsid w:val="00B713DB"/>
    <w:rsid w:val="00B71426"/>
    <w:rsid w:val="00B719DD"/>
    <w:rsid w:val="00B750E1"/>
    <w:rsid w:val="00B763CC"/>
    <w:rsid w:val="00B76838"/>
    <w:rsid w:val="00B80551"/>
    <w:rsid w:val="00B819FC"/>
    <w:rsid w:val="00B8408A"/>
    <w:rsid w:val="00B86574"/>
    <w:rsid w:val="00B93216"/>
    <w:rsid w:val="00BA2536"/>
    <w:rsid w:val="00BA3CCA"/>
    <w:rsid w:val="00BA40FB"/>
    <w:rsid w:val="00BA5C08"/>
    <w:rsid w:val="00BB198C"/>
    <w:rsid w:val="00BB3DD2"/>
    <w:rsid w:val="00BB6DCC"/>
    <w:rsid w:val="00BC42B2"/>
    <w:rsid w:val="00BC4848"/>
    <w:rsid w:val="00BC711E"/>
    <w:rsid w:val="00BD0A7D"/>
    <w:rsid w:val="00BD226A"/>
    <w:rsid w:val="00BD57C2"/>
    <w:rsid w:val="00BD6E48"/>
    <w:rsid w:val="00BE0B01"/>
    <w:rsid w:val="00BE5BF4"/>
    <w:rsid w:val="00BE5E91"/>
    <w:rsid w:val="00BE6AA0"/>
    <w:rsid w:val="00BF11D2"/>
    <w:rsid w:val="00BF1BB4"/>
    <w:rsid w:val="00C05260"/>
    <w:rsid w:val="00C059A8"/>
    <w:rsid w:val="00C05D6D"/>
    <w:rsid w:val="00C2310A"/>
    <w:rsid w:val="00C26246"/>
    <w:rsid w:val="00C30346"/>
    <w:rsid w:val="00C440EA"/>
    <w:rsid w:val="00C47285"/>
    <w:rsid w:val="00C50607"/>
    <w:rsid w:val="00C5389F"/>
    <w:rsid w:val="00C546F1"/>
    <w:rsid w:val="00C61058"/>
    <w:rsid w:val="00C6287B"/>
    <w:rsid w:val="00C64419"/>
    <w:rsid w:val="00C71FE0"/>
    <w:rsid w:val="00C734E7"/>
    <w:rsid w:val="00C75D8E"/>
    <w:rsid w:val="00C767EB"/>
    <w:rsid w:val="00C90C4E"/>
    <w:rsid w:val="00C92AAB"/>
    <w:rsid w:val="00C94BDE"/>
    <w:rsid w:val="00CA0CF2"/>
    <w:rsid w:val="00CA4B32"/>
    <w:rsid w:val="00CB1C67"/>
    <w:rsid w:val="00CB4ECE"/>
    <w:rsid w:val="00CC0CFE"/>
    <w:rsid w:val="00CC627D"/>
    <w:rsid w:val="00CD2049"/>
    <w:rsid w:val="00CD7362"/>
    <w:rsid w:val="00CE0DAE"/>
    <w:rsid w:val="00CE3AA8"/>
    <w:rsid w:val="00CE523A"/>
    <w:rsid w:val="00CF0EDC"/>
    <w:rsid w:val="00CF45B3"/>
    <w:rsid w:val="00CF54E0"/>
    <w:rsid w:val="00D07D47"/>
    <w:rsid w:val="00D104C5"/>
    <w:rsid w:val="00D1245B"/>
    <w:rsid w:val="00D146BE"/>
    <w:rsid w:val="00D24C8F"/>
    <w:rsid w:val="00D30862"/>
    <w:rsid w:val="00D30F74"/>
    <w:rsid w:val="00D33109"/>
    <w:rsid w:val="00D3494E"/>
    <w:rsid w:val="00D35895"/>
    <w:rsid w:val="00D41493"/>
    <w:rsid w:val="00D43249"/>
    <w:rsid w:val="00D43D7F"/>
    <w:rsid w:val="00D44E5D"/>
    <w:rsid w:val="00D477A6"/>
    <w:rsid w:val="00D5068D"/>
    <w:rsid w:val="00D55F1B"/>
    <w:rsid w:val="00D61209"/>
    <w:rsid w:val="00D6144F"/>
    <w:rsid w:val="00D647DA"/>
    <w:rsid w:val="00D64CFA"/>
    <w:rsid w:val="00D676DB"/>
    <w:rsid w:val="00D67749"/>
    <w:rsid w:val="00D71002"/>
    <w:rsid w:val="00D71912"/>
    <w:rsid w:val="00D80959"/>
    <w:rsid w:val="00D81220"/>
    <w:rsid w:val="00D84D48"/>
    <w:rsid w:val="00D91D41"/>
    <w:rsid w:val="00D94E2C"/>
    <w:rsid w:val="00DA1517"/>
    <w:rsid w:val="00DA2978"/>
    <w:rsid w:val="00DA6240"/>
    <w:rsid w:val="00DB439C"/>
    <w:rsid w:val="00DB4F73"/>
    <w:rsid w:val="00DC3A7E"/>
    <w:rsid w:val="00DC7182"/>
    <w:rsid w:val="00DD0C76"/>
    <w:rsid w:val="00DF39D7"/>
    <w:rsid w:val="00DF6796"/>
    <w:rsid w:val="00E02501"/>
    <w:rsid w:val="00E06D94"/>
    <w:rsid w:val="00E14B06"/>
    <w:rsid w:val="00E15E5D"/>
    <w:rsid w:val="00E16E7F"/>
    <w:rsid w:val="00E1739C"/>
    <w:rsid w:val="00E32A32"/>
    <w:rsid w:val="00E3798E"/>
    <w:rsid w:val="00E4088C"/>
    <w:rsid w:val="00E4245F"/>
    <w:rsid w:val="00E45DF6"/>
    <w:rsid w:val="00E46DA4"/>
    <w:rsid w:val="00E5153D"/>
    <w:rsid w:val="00E5448A"/>
    <w:rsid w:val="00E54880"/>
    <w:rsid w:val="00E659B0"/>
    <w:rsid w:val="00E67235"/>
    <w:rsid w:val="00E67D4F"/>
    <w:rsid w:val="00E727C4"/>
    <w:rsid w:val="00E84A6D"/>
    <w:rsid w:val="00E87793"/>
    <w:rsid w:val="00E97065"/>
    <w:rsid w:val="00EA2D33"/>
    <w:rsid w:val="00EA7684"/>
    <w:rsid w:val="00EB3C66"/>
    <w:rsid w:val="00EB49EF"/>
    <w:rsid w:val="00ED26B9"/>
    <w:rsid w:val="00EE019C"/>
    <w:rsid w:val="00EE0B4B"/>
    <w:rsid w:val="00EE0ECD"/>
    <w:rsid w:val="00EE3F5C"/>
    <w:rsid w:val="00EE70AC"/>
    <w:rsid w:val="00EF124C"/>
    <w:rsid w:val="00EF29B3"/>
    <w:rsid w:val="00EF400A"/>
    <w:rsid w:val="00EF4CFD"/>
    <w:rsid w:val="00EF6ED2"/>
    <w:rsid w:val="00F00DCE"/>
    <w:rsid w:val="00F03658"/>
    <w:rsid w:val="00F04AF2"/>
    <w:rsid w:val="00F053A7"/>
    <w:rsid w:val="00F0710A"/>
    <w:rsid w:val="00F0719B"/>
    <w:rsid w:val="00F0756E"/>
    <w:rsid w:val="00F10185"/>
    <w:rsid w:val="00F1213B"/>
    <w:rsid w:val="00F13100"/>
    <w:rsid w:val="00F242C9"/>
    <w:rsid w:val="00F3080E"/>
    <w:rsid w:val="00F3081C"/>
    <w:rsid w:val="00F36203"/>
    <w:rsid w:val="00F36A9C"/>
    <w:rsid w:val="00F408ED"/>
    <w:rsid w:val="00F41151"/>
    <w:rsid w:val="00F42FD5"/>
    <w:rsid w:val="00F440AF"/>
    <w:rsid w:val="00F53DAB"/>
    <w:rsid w:val="00F61BAE"/>
    <w:rsid w:val="00F70455"/>
    <w:rsid w:val="00F82422"/>
    <w:rsid w:val="00F83240"/>
    <w:rsid w:val="00F86007"/>
    <w:rsid w:val="00F9044B"/>
    <w:rsid w:val="00F93233"/>
    <w:rsid w:val="00F95C5F"/>
    <w:rsid w:val="00F972C0"/>
    <w:rsid w:val="00FB20DE"/>
    <w:rsid w:val="00FB7550"/>
    <w:rsid w:val="00FC38BC"/>
    <w:rsid w:val="00FC6F4E"/>
    <w:rsid w:val="00FC7B6F"/>
    <w:rsid w:val="00FD077A"/>
    <w:rsid w:val="00FD2DF7"/>
    <w:rsid w:val="00FD79ED"/>
    <w:rsid w:val="00FE2AA4"/>
    <w:rsid w:val="00FE3FB2"/>
    <w:rsid w:val="00FF0651"/>
    <w:rsid w:val="00FF63E8"/>
    <w:rsid w:val="13AB07E4"/>
    <w:rsid w:val="1A9A6FBF"/>
    <w:rsid w:val="1FB74611"/>
    <w:rsid w:val="2A12378E"/>
    <w:rsid w:val="37855A5B"/>
    <w:rsid w:val="5C19231F"/>
    <w:rsid w:val="723A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pPr>
      <w:jc w:val="left"/>
    </w:pPr>
  </w:style>
  <w:style w:type="paragraph" w:styleId="4">
    <w:name w:val="Date"/>
    <w:basedOn w:val="1"/>
    <w:next w:val="1"/>
    <w:link w:val="30"/>
    <w:semiHidden/>
    <w:unhideWhenUsed/>
    <w:qFormat/>
    <w:uiPriority w:val="99"/>
    <w:pPr>
      <w:ind w:left="100" w:leftChars="2500"/>
    </w:pPr>
  </w:style>
  <w:style w:type="paragraph" w:styleId="5">
    <w:name w:val="Balloon Text"/>
    <w:basedOn w:val="1"/>
    <w:link w:val="27"/>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uppressAutoHyphens w:val="0"/>
      <w:snapToGrid w:val="0"/>
      <w:jc w:val="left"/>
    </w:pPr>
    <w:rPr>
      <w:rFonts w:ascii="Calibri" w:hAnsi="Calibri"/>
      <w:sz w:val="18"/>
      <w:szCs w:val="18"/>
    </w:rPr>
  </w:style>
  <w:style w:type="paragraph" w:styleId="7">
    <w:name w:val="header"/>
    <w:basedOn w:val="1"/>
    <w:link w:val="20"/>
    <w:unhideWhenUsed/>
    <w:qFormat/>
    <w:uiPriority w:val="0"/>
    <w:pPr>
      <w:pBdr>
        <w:bottom w:val="single" w:color="auto" w:sz="6" w:space="1"/>
      </w:pBdr>
      <w:tabs>
        <w:tab w:val="center" w:pos="4153"/>
        <w:tab w:val="right" w:pos="8306"/>
      </w:tabs>
      <w:suppressAutoHyphens w:val="0"/>
      <w:snapToGrid w:val="0"/>
      <w:jc w:val="center"/>
    </w:pPr>
    <w:rPr>
      <w:rFonts w:ascii="Calibri" w:hAnsi="Calibri"/>
      <w:sz w:val="18"/>
      <w:szCs w:val="18"/>
    </w:rPr>
  </w:style>
  <w:style w:type="paragraph" w:styleId="8">
    <w:name w:val="toc 1"/>
    <w:basedOn w:val="1"/>
    <w:next w:val="1"/>
    <w:unhideWhenUsed/>
    <w:qFormat/>
    <w:uiPriority w:val="39"/>
  </w:style>
  <w:style w:type="paragraph" w:styleId="9">
    <w:name w:val="Normal (Web)"/>
    <w:basedOn w:val="1"/>
    <w:semiHidden/>
    <w:unhideWhenUsed/>
    <w:qFormat/>
    <w:uiPriority w:val="99"/>
    <w:pPr>
      <w:widowControl/>
      <w:suppressAutoHyphens w:val="0"/>
      <w:spacing w:before="100" w:beforeAutospacing="1" w:after="100" w:afterAutospacing="1"/>
      <w:jc w:val="left"/>
    </w:pPr>
    <w:rPr>
      <w:rFonts w:ascii="宋体" w:hAnsi="宋体" w:cs="宋体"/>
      <w:kern w:val="0"/>
      <w:sz w:val="24"/>
    </w:rPr>
  </w:style>
  <w:style w:type="paragraph" w:styleId="10">
    <w:name w:val="annotation subject"/>
    <w:basedOn w:val="3"/>
    <w:next w:val="3"/>
    <w:link w:val="29"/>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rFonts w:cs="Times New Roman"/>
      <w:b/>
      <w:bCs/>
    </w:rPr>
  </w:style>
  <w:style w:type="character" w:styleId="15">
    <w:name w:val="Hyperlink"/>
    <w:basedOn w:val="13"/>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页脚 字符"/>
    <w:basedOn w:val="13"/>
    <w:link w:val="6"/>
    <w:qFormat/>
    <w:uiPriority w:val="99"/>
    <w:rPr>
      <w:rFonts w:ascii="Calibri" w:hAnsi="Calibri" w:eastAsia="宋体" w:cs="Times New Roman"/>
      <w:sz w:val="18"/>
      <w:szCs w:val="18"/>
    </w:rPr>
  </w:style>
  <w:style w:type="paragraph" w:styleId="18">
    <w:name w:val="List Paragraph"/>
    <w:basedOn w:val="1"/>
    <w:qFormat/>
    <w:uiPriority w:val="34"/>
    <w:pPr>
      <w:suppressAutoHyphens w:val="0"/>
      <w:ind w:firstLine="420" w:firstLineChars="200"/>
    </w:pPr>
    <w:rPr>
      <w:rFonts w:ascii="Calibri" w:hAnsi="Calibri"/>
      <w:szCs w:val="22"/>
    </w:rPr>
  </w:style>
  <w:style w:type="character" w:customStyle="1" w:styleId="19">
    <w:name w:val="不明显强调1"/>
    <w:basedOn w:val="13"/>
    <w:qFormat/>
    <w:uiPriority w:val="19"/>
    <w:rPr>
      <w:i/>
      <w:iCs/>
      <w:color w:val="808080"/>
    </w:rPr>
  </w:style>
  <w:style w:type="character" w:customStyle="1" w:styleId="20">
    <w:name w:val="页眉 字符"/>
    <w:basedOn w:val="13"/>
    <w:link w:val="7"/>
    <w:qFormat/>
    <w:uiPriority w:val="0"/>
    <w:rPr>
      <w:rFonts w:ascii="Calibri" w:hAnsi="Calibri" w:eastAsia="宋体" w:cs="Times New Roman"/>
      <w:sz w:val="18"/>
      <w:szCs w:val="18"/>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2">
    <w:name w:val="wenzi1"/>
    <w:qFormat/>
    <w:uiPriority w:val="0"/>
    <w:rPr>
      <w:rFonts w:hint="default"/>
      <w:color w:val="000000"/>
      <w:sz w:val="18"/>
      <w:szCs w:val="18"/>
      <w:u w:val="none"/>
    </w:rPr>
  </w:style>
  <w:style w:type="paragraph" w:customStyle="1" w:styleId="23">
    <w:name w:val="标题-1"/>
    <w:basedOn w:val="1"/>
    <w:link w:val="25"/>
    <w:qFormat/>
    <w:uiPriority w:val="0"/>
    <w:pPr>
      <w:jc w:val="center"/>
      <w:outlineLvl w:val="0"/>
    </w:pPr>
    <w:rPr>
      <w:rFonts w:ascii="华康黑体W7(P)" w:hAnsi="Frutiger LT Std 45 Light" w:eastAsia="华康黑体W7(P)"/>
      <w:b/>
      <w:sz w:val="32"/>
      <w:szCs w:val="32"/>
    </w:rPr>
  </w:style>
  <w:style w:type="character" w:customStyle="1" w:styleId="24">
    <w:name w:val="标题 1 字符"/>
    <w:basedOn w:val="13"/>
    <w:link w:val="2"/>
    <w:qFormat/>
    <w:uiPriority w:val="9"/>
    <w:rPr>
      <w:rFonts w:ascii="Times New Roman" w:hAnsi="Times New Roman" w:eastAsia="宋体" w:cs="Times New Roman"/>
      <w:b/>
      <w:bCs/>
      <w:kern w:val="44"/>
      <w:sz w:val="44"/>
      <w:szCs w:val="44"/>
    </w:rPr>
  </w:style>
  <w:style w:type="character" w:customStyle="1" w:styleId="25">
    <w:name w:val="标题-1 Char"/>
    <w:basedOn w:val="13"/>
    <w:link w:val="23"/>
    <w:qFormat/>
    <w:uiPriority w:val="0"/>
    <w:rPr>
      <w:rFonts w:ascii="华康黑体W7(P)" w:hAnsi="Frutiger LT Std 45 Light" w:eastAsia="华康黑体W7(P)" w:cs="Times New Roman"/>
      <w:b/>
      <w:sz w:val="32"/>
      <w:szCs w:val="32"/>
    </w:rPr>
  </w:style>
  <w:style w:type="paragraph" w:customStyle="1" w:styleId="26">
    <w:name w:val="TOC 标题1"/>
    <w:basedOn w:val="2"/>
    <w:next w:val="1"/>
    <w:unhideWhenUsed/>
    <w:qFormat/>
    <w:uiPriority w:val="39"/>
    <w:pPr>
      <w:widowControl/>
      <w:suppressAutoHyphens w:val="0"/>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5"/>
    <w:semiHidden/>
    <w:qFormat/>
    <w:uiPriority w:val="99"/>
    <w:rPr>
      <w:rFonts w:ascii="Times New Roman" w:hAnsi="Times New Roman" w:eastAsia="宋体" w:cs="Times New Roman"/>
      <w:sz w:val="18"/>
      <w:szCs w:val="18"/>
    </w:rPr>
  </w:style>
  <w:style w:type="character" w:customStyle="1" w:styleId="28">
    <w:name w:val="批注文字 字符"/>
    <w:basedOn w:val="13"/>
    <w:link w:val="3"/>
    <w:semiHidden/>
    <w:qFormat/>
    <w:uiPriority w:val="99"/>
    <w:rPr>
      <w:rFonts w:ascii="Times New Roman" w:hAnsi="Times New Roman" w:eastAsia="宋体" w:cs="Times New Roman"/>
      <w:szCs w:val="24"/>
    </w:rPr>
  </w:style>
  <w:style w:type="character" w:customStyle="1" w:styleId="29">
    <w:name w:val="批注主题 字符"/>
    <w:basedOn w:val="28"/>
    <w:link w:val="10"/>
    <w:semiHidden/>
    <w:qFormat/>
    <w:uiPriority w:val="99"/>
    <w:rPr>
      <w:rFonts w:ascii="Times New Roman" w:hAnsi="Times New Roman" w:eastAsia="宋体" w:cs="Times New Roman"/>
      <w:b/>
      <w:bCs/>
      <w:szCs w:val="24"/>
    </w:rPr>
  </w:style>
  <w:style w:type="character" w:customStyle="1" w:styleId="30">
    <w:name w:val="日期 字符"/>
    <w:basedOn w:val="13"/>
    <w:link w:val="4"/>
    <w:semiHidden/>
    <w:qFormat/>
    <w:uiPriority w:val="99"/>
    <w:rPr>
      <w:rFonts w:ascii="Times New Roman" w:hAnsi="Times New Roman" w:eastAsia="宋体" w:cs="Times New Roman"/>
      <w:szCs w:val="24"/>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AA675-7ED9-454F-B8C1-839E75149185}">
  <ds:schemaRefs/>
</ds:datastoreItem>
</file>

<file path=docProps/app.xml><?xml version="1.0" encoding="utf-8"?>
<Properties xmlns="http://schemas.openxmlformats.org/officeDocument/2006/extended-properties" xmlns:vt="http://schemas.openxmlformats.org/officeDocument/2006/docPropsVTypes">
  <Template>Normal</Template>
  <Company>NJNU</Company>
  <Pages>4</Pages>
  <Words>374</Words>
  <Characters>2133</Characters>
  <Lines>17</Lines>
  <Paragraphs>5</Paragraphs>
  <TotalTime>4</TotalTime>
  <ScaleCrop>false</ScaleCrop>
  <LinksUpToDate>false</LinksUpToDate>
  <CharactersWithSpaces>2502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2020-03-23T00:41:00Z</dcterms:created>
  <dc:creator>^_^</dc:creator>
  <cp:lastModifiedBy>ξ端端ぷ</cp:lastModifiedBy>
  <cp:lastPrinted>2020-03-23T01:10:00Z</cp:lastPrinted>
  <dcterms:modified xsi:type="dcterms:W3CDTF">2021-03-03T06:58:05Z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